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A6B809" w14:textId="5611923D" w:rsidR="006845CF" w:rsidRDefault="001A1723"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1A1723">
        <w:rPr>
          <w:rFonts w:ascii="inherit" w:eastAsia="Times New Roman" w:hAnsi="inherit" w:cs="Times New Roman"/>
          <w:b/>
          <w:bCs/>
          <w:color w:val="000000"/>
          <w:sz w:val="29"/>
          <w:szCs w:val="29"/>
          <w:bdr w:val="none" w:sz="0" w:space="0" w:color="auto" w:frame="1"/>
        </w:rPr>
        <w:t xml:space="preserve">Submit your response to the following question.  Briefly discuss Diversity Management and its interconnectivity to Diversity - specifically within the </w:t>
      </w:r>
      <w:proofErr w:type="gramStart"/>
      <w:r w:rsidRPr="001A1723">
        <w:rPr>
          <w:rFonts w:ascii="inherit" w:eastAsia="Times New Roman" w:hAnsi="inherit" w:cs="Times New Roman"/>
          <w:b/>
          <w:bCs/>
          <w:color w:val="000000"/>
          <w:sz w:val="29"/>
          <w:szCs w:val="29"/>
          <w:bdr w:val="none" w:sz="0" w:space="0" w:color="auto" w:frame="1"/>
        </w:rPr>
        <w:t>workplace .</w:t>
      </w:r>
      <w:proofErr w:type="gramEnd"/>
      <w:r w:rsidRPr="001A1723">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1A1723">
        <w:rPr>
          <w:rFonts w:ascii="inherit" w:eastAsia="Times New Roman" w:hAnsi="inherit" w:cs="Times New Roman"/>
          <w:b/>
          <w:bCs/>
          <w:color w:val="000000"/>
          <w:sz w:val="29"/>
          <w:szCs w:val="29"/>
          <w:bdr w:val="none" w:sz="0" w:space="0" w:color="auto" w:frame="1"/>
        </w:rPr>
        <w:t>7 sentence</w:t>
      </w:r>
      <w:proofErr w:type="gramEnd"/>
      <w:r w:rsidRPr="001A1723">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7B2412C9" w14:textId="77777777" w:rsidR="001A1723" w:rsidRDefault="001A1723"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2FE46867" w14:textId="77777777" w:rsidR="00F36391" w:rsidRDefault="00F36391"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0A338A83" w14:textId="77777777" w:rsidR="001A1723" w:rsidRPr="001A1723" w:rsidRDefault="001A1723" w:rsidP="001A1723">
      <w:pPr>
        <w:spacing w:after="0" w:line="240" w:lineRule="auto"/>
        <w:ind w:right="45"/>
        <w:outlineLvl w:val="2"/>
        <w:rPr>
          <w:rFonts w:ascii="inherit" w:eastAsia="Times New Roman" w:hAnsi="inherit" w:cs="Times New Roman"/>
          <w:b/>
          <w:bCs/>
          <w:color w:val="111111"/>
          <w:sz w:val="29"/>
          <w:szCs w:val="29"/>
        </w:rPr>
      </w:pPr>
      <w:r w:rsidRPr="001A1723">
        <w:rPr>
          <w:rFonts w:ascii="inherit" w:eastAsia="Times New Roman" w:hAnsi="inherit" w:cs="Times New Roman"/>
          <w:b/>
          <w:bCs/>
          <w:color w:val="000000"/>
          <w:sz w:val="29"/>
          <w:szCs w:val="29"/>
          <w:bdr w:val="none" w:sz="0" w:space="0" w:color="auto" w:frame="1"/>
        </w:rPr>
        <w:t>Chapter 12: An Overview of the Inclusive Workplace Model—Managing the Globalize Workforce Diversity</w:t>
      </w:r>
      <w:r w:rsidRPr="001A1723">
        <w:rPr>
          <w:rFonts w:ascii="inherit" w:eastAsia="Times New Roman" w:hAnsi="inherit" w:cs="Times New Roman"/>
          <w:b/>
          <w:bCs/>
          <w:color w:val="111111"/>
          <w:sz w:val="29"/>
          <w:szCs w:val="29"/>
        </w:rPr>
        <w:t xml:space="preserve"> </w:t>
      </w:r>
    </w:p>
    <w:p w14:paraId="76557424" w14:textId="77777777" w:rsidR="001A1723" w:rsidRPr="001A1723" w:rsidRDefault="001A1723" w:rsidP="001A1723">
      <w:pPr>
        <w:spacing w:after="0" w:line="240" w:lineRule="auto"/>
        <w:ind w:right="12"/>
        <w:rPr>
          <w:rFonts w:ascii="inherit" w:eastAsia="Times New Roman" w:hAnsi="inherit" w:cs="Times New Roman"/>
          <w:color w:val="111111"/>
          <w:sz w:val="24"/>
          <w:szCs w:val="24"/>
        </w:rPr>
      </w:pPr>
      <w:r w:rsidRPr="001A1723">
        <w:rPr>
          <w:rFonts w:ascii="&amp;quot" w:eastAsia="Times New Roman" w:hAnsi="&amp;quot" w:cs="Times New Roman"/>
          <w:b/>
          <w:bCs/>
          <w:color w:val="111111"/>
          <w:sz w:val="24"/>
          <w:szCs w:val="24"/>
          <w:bdr w:val="none" w:sz="0" w:space="0" w:color="auto" w:frame="1"/>
        </w:rPr>
        <w:t xml:space="preserve">Chapter Overview </w:t>
      </w:r>
    </w:p>
    <w:p w14:paraId="47557DE4" w14:textId="77777777" w:rsidR="001A1723" w:rsidRPr="001A1723" w:rsidRDefault="001A1723" w:rsidP="001A1723">
      <w:pPr>
        <w:spacing w:after="0" w:line="240" w:lineRule="auto"/>
        <w:rPr>
          <w:rFonts w:ascii="inherit" w:eastAsia="Times New Roman" w:hAnsi="inherit" w:cs="Times New Roman"/>
          <w:color w:val="111111"/>
          <w:sz w:val="24"/>
          <w:szCs w:val="24"/>
        </w:rPr>
      </w:pPr>
      <w:r w:rsidRPr="001A1723">
        <w:rPr>
          <w:rFonts w:ascii="&amp;quot" w:eastAsia="Times New Roman" w:hAnsi="&amp;quot" w:cs="Times New Roman"/>
          <w:color w:val="111111"/>
          <w:sz w:val="24"/>
          <w:szCs w:val="24"/>
          <w:bdr w:val="none" w:sz="0" w:space="0" w:color="auto" w:frame="1"/>
        </w:rPr>
        <w:t xml:space="preserve">The economic, social, and demographic trends described earlier in the book create an environment that is a fertile ground for intergroup conflicts. In order to avoid the pitfalls and reap the benefits of a diverse workforce, employers need to adopt a broader vision of inclusion, one that includes not only the organization itself but also its surrounding community and its national and international context. The conceptual model for the inclusive workplace introduced here and elaborated on in the next chapters includes both the value base and the practice applications that foster inclusion not only within the organization itself but also in conjunction with the larger systems that constitute its environment. </w:t>
      </w:r>
    </w:p>
    <w:p w14:paraId="35CB7490" w14:textId="77777777" w:rsidR="001A1723" w:rsidRPr="001A1723" w:rsidRDefault="001A1723" w:rsidP="001A1723">
      <w:pPr>
        <w:spacing w:after="0" w:line="240" w:lineRule="auto"/>
        <w:rPr>
          <w:rFonts w:ascii="inherit" w:eastAsia="Times New Roman" w:hAnsi="inherit" w:cs="Times New Roman"/>
          <w:color w:val="111111"/>
          <w:sz w:val="24"/>
          <w:szCs w:val="24"/>
        </w:rPr>
      </w:pPr>
      <w:r w:rsidRPr="001A1723">
        <w:rPr>
          <w:rFonts w:ascii="&amp;quot" w:eastAsia="Times New Roman" w:hAnsi="&amp;quot" w:cs="Times New Roman"/>
          <w:b/>
          <w:bCs/>
          <w:color w:val="111111"/>
          <w:sz w:val="24"/>
          <w:szCs w:val="24"/>
          <w:bdr w:val="none" w:sz="0" w:space="0" w:color="auto" w:frame="1"/>
        </w:rPr>
        <w:t>Diversity Management and the Inclusive Workplace</w:t>
      </w:r>
    </w:p>
    <w:p w14:paraId="59437EE5" w14:textId="77777777" w:rsidR="001A1723" w:rsidRPr="001A1723" w:rsidRDefault="001A1723" w:rsidP="001A1723">
      <w:pPr>
        <w:spacing w:after="0" w:line="240" w:lineRule="auto"/>
        <w:rPr>
          <w:rFonts w:ascii="inherit" w:eastAsia="Times New Roman" w:hAnsi="inherit" w:cs="Times New Roman"/>
          <w:color w:val="111111"/>
          <w:sz w:val="24"/>
          <w:szCs w:val="24"/>
        </w:rPr>
      </w:pPr>
      <w:r w:rsidRPr="001A1723">
        <w:rPr>
          <w:rFonts w:ascii="&amp;quot" w:eastAsia="Times New Roman" w:hAnsi="&amp;quot" w:cs="Times New Roman"/>
          <w:color w:val="111111"/>
          <w:sz w:val="24"/>
          <w:szCs w:val="24"/>
          <w:bdr w:val="none" w:sz="0" w:space="0" w:color="auto" w:frame="1"/>
        </w:rPr>
        <w:t xml:space="preserve">The concept of the inclusive workplace refers to a work organization that not only accepts and utilizes the diversity of its own work force, but is also active in the community, participates in state and federal programs to include population groups such as immigrants, women, and the working poor, and collaborates across cultural and national boundaries with a focus on global mutual interests. As shown in Box 12.1, the inclusive </w:t>
      </w:r>
      <w:proofErr w:type="gramStart"/>
      <w:r w:rsidRPr="001A1723">
        <w:rPr>
          <w:rFonts w:ascii="&amp;quot" w:eastAsia="Times New Roman" w:hAnsi="&amp;quot" w:cs="Times New Roman"/>
          <w:color w:val="111111"/>
          <w:sz w:val="24"/>
          <w:szCs w:val="24"/>
          <w:bdr w:val="none" w:sz="0" w:space="0" w:color="auto" w:frame="1"/>
        </w:rPr>
        <w:t>work place</w:t>
      </w:r>
      <w:proofErr w:type="gramEnd"/>
      <w:r w:rsidRPr="001A1723">
        <w:rPr>
          <w:rFonts w:ascii="&amp;quot" w:eastAsia="Times New Roman" w:hAnsi="&amp;quot" w:cs="Times New Roman"/>
          <w:color w:val="111111"/>
          <w:sz w:val="24"/>
          <w:szCs w:val="24"/>
          <w:bdr w:val="none" w:sz="0" w:space="0" w:color="auto" w:frame="1"/>
        </w:rPr>
        <w:t xml:space="preserve"> is defined as one that: </w:t>
      </w:r>
    </w:p>
    <w:p w14:paraId="0D67F514" w14:textId="77777777" w:rsidR="001A1723" w:rsidRPr="001A1723" w:rsidRDefault="001A1723" w:rsidP="001A1723">
      <w:pPr>
        <w:numPr>
          <w:ilvl w:val="0"/>
          <w:numId w:val="10"/>
        </w:numPr>
        <w:spacing w:after="0" w:line="240" w:lineRule="auto"/>
        <w:rPr>
          <w:rFonts w:ascii="inherit" w:eastAsia="Times New Roman" w:hAnsi="inherit" w:cs="Times New Roman"/>
          <w:color w:val="111111"/>
          <w:sz w:val="24"/>
          <w:szCs w:val="24"/>
        </w:rPr>
      </w:pPr>
      <w:r w:rsidRPr="001A1723">
        <w:rPr>
          <w:rFonts w:ascii="&amp;quot" w:eastAsia="Times New Roman" w:hAnsi="&amp;quot" w:cs="Times New Roman"/>
          <w:color w:val="111111"/>
          <w:sz w:val="24"/>
          <w:szCs w:val="24"/>
          <w:bdr w:val="none" w:sz="0" w:space="0" w:color="auto" w:frame="1"/>
        </w:rPr>
        <w:t>Values and utilizes individual and intergroup differences within its workforce (Level I).</w:t>
      </w:r>
    </w:p>
    <w:p w14:paraId="6831CA98" w14:textId="77777777" w:rsidR="001A1723" w:rsidRPr="001A1723" w:rsidRDefault="001A1723" w:rsidP="001A1723">
      <w:pPr>
        <w:numPr>
          <w:ilvl w:val="0"/>
          <w:numId w:val="10"/>
        </w:numPr>
        <w:spacing w:after="0" w:line="240" w:lineRule="auto"/>
        <w:rPr>
          <w:rFonts w:ascii="inherit" w:eastAsia="Times New Roman" w:hAnsi="inherit" w:cs="Times New Roman"/>
          <w:color w:val="111111"/>
          <w:sz w:val="24"/>
          <w:szCs w:val="24"/>
        </w:rPr>
      </w:pPr>
      <w:r w:rsidRPr="001A1723">
        <w:rPr>
          <w:rFonts w:ascii="&amp;quot" w:eastAsia="Times New Roman" w:hAnsi="&amp;quot" w:cs="Times New Roman"/>
          <w:color w:val="111111"/>
          <w:sz w:val="24"/>
          <w:szCs w:val="24"/>
          <w:bdr w:val="none" w:sz="0" w:space="0" w:color="auto" w:frame="1"/>
        </w:rPr>
        <w:t xml:space="preserve">Cooperates </w:t>
      </w:r>
      <w:proofErr w:type="gramStart"/>
      <w:r w:rsidRPr="001A1723">
        <w:rPr>
          <w:rFonts w:ascii="&amp;quot" w:eastAsia="Times New Roman" w:hAnsi="&amp;quot" w:cs="Times New Roman"/>
          <w:color w:val="111111"/>
          <w:sz w:val="24"/>
          <w:szCs w:val="24"/>
          <w:bdr w:val="none" w:sz="0" w:space="0" w:color="auto" w:frame="1"/>
        </w:rPr>
        <w:t>with, and</w:t>
      </w:r>
      <w:proofErr w:type="gramEnd"/>
      <w:r w:rsidRPr="001A1723">
        <w:rPr>
          <w:rFonts w:ascii="&amp;quot" w:eastAsia="Times New Roman" w:hAnsi="&amp;quot" w:cs="Times New Roman"/>
          <w:color w:val="111111"/>
          <w:sz w:val="24"/>
          <w:szCs w:val="24"/>
          <w:bdr w:val="none" w:sz="0" w:space="0" w:color="auto" w:frame="1"/>
        </w:rPr>
        <w:t xml:space="preserve"> contributes to its surrounding community (Level II).             </w:t>
      </w:r>
    </w:p>
    <w:p w14:paraId="59360A40" w14:textId="77777777" w:rsidR="001A1723" w:rsidRPr="001A1723" w:rsidRDefault="001A1723" w:rsidP="001A1723">
      <w:pPr>
        <w:numPr>
          <w:ilvl w:val="0"/>
          <w:numId w:val="10"/>
        </w:numPr>
        <w:spacing w:after="0" w:line="240" w:lineRule="auto"/>
        <w:rPr>
          <w:rFonts w:ascii="inherit" w:eastAsia="Times New Roman" w:hAnsi="inherit" w:cs="Times New Roman"/>
          <w:color w:val="111111"/>
          <w:sz w:val="24"/>
          <w:szCs w:val="24"/>
        </w:rPr>
      </w:pPr>
      <w:r w:rsidRPr="001A1723">
        <w:rPr>
          <w:rFonts w:ascii="&amp;quot" w:eastAsia="Times New Roman" w:hAnsi="&amp;quot" w:cs="Times New Roman"/>
          <w:color w:val="111111"/>
          <w:sz w:val="24"/>
          <w:szCs w:val="24"/>
          <w:bdr w:val="none" w:sz="0" w:space="0" w:color="auto" w:frame="1"/>
        </w:rPr>
        <w:t>Alleviates the needs of disadvantaged groups in its wider national environment (Level III).</w:t>
      </w:r>
    </w:p>
    <w:p w14:paraId="09341BB6" w14:textId="77777777" w:rsidR="001A1723" w:rsidRPr="001A1723" w:rsidRDefault="001A1723" w:rsidP="001A1723">
      <w:pPr>
        <w:numPr>
          <w:ilvl w:val="0"/>
          <w:numId w:val="10"/>
        </w:numPr>
        <w:spacing w:after="0" w:line="240" w:lineRule="auto"/>
        <w:rPr>
          <w:rFonts w:ascii="inherit" w:eastAsia="Times New Roman" w:hAnsi="inherit" w:cs="Times New Roman"/>
          <w:color w:val="111111"/>
          <w:sz w:val="24"/>
          <w:szCs w:val="24"/>
        </w:rPr>
      </w:pPr>
      <w:r w:rsidRPr="001A1723">
        <w:rPr>
          <w:rFonts w:ascii="&amp;quot" w:eastAsia="Times New Roman" w:hAnsi="&amp;quot" w:cs="Times New Roman"/>
          <w:color w:val="111111"/>
          <w:sz w:val="24"/>
          <w:szCs w:val="24"/>
          <w:bdr w:val="none" w:sz="0" w:space="0" w:color="auto" w:frame="1"/>
        </w:rPr>
        <w:t>Collaborates with individuals, groups, and organizations across national and cultural boundaries (Level IV).</w:t>
      </w:r>
    </w:p>
    <w:p w14:paraId="2F17BC28" w14:textId="77777777" w:rsidR="001A1723" w:rsidRPr="001A1723" w:rsidRDefault="001A1723" w:rsidP="001A1723">
      <w:pPr>
        <w:spacing w:after="0" w:line="240" w:lineRule="auto"/>
        <w:rPr>
          <w:rFonts w:ascii="inherit" w:eastAsia="Times New Roman" w:hAnsi="inherit" w:cs="Times New Roman"/>
          <w:color w:val="111111"/>
          <w:sz w:val="24"/>
          <w:szCs w:val="24"/>
        </w:rPr>
      </w:pPr>
      <w:r w:rsidRPr="001A1723">
        <w:rPr>
          <w:rFonts w:ascii="&amp;quot" w:eastAsia="Times New Roman" w:hAnsi="&amp;quot" w:cs="Times New Roman"/>
          <w:color w:val="111111"/>
          <w:sz w:val="24"/>
          <w:szCs w:val="24"/>
          <w:bdr w:val="none" w:sz="0" w:space="0" w:color="auto" w:frame="1"/>
        </w:rPr>
        <w:t xml:space="preserve">The model has a strong value base that is manifested at each of the systems levels. It also has policy and practice applications that are unique to each of the levels from the micro to the macro. </w:t>
      </w:r>
    </w:p>
    <w:p w14:paraId="3C9A165C" w14:textId="77777777" w:rsidR="001A1723" w:rsidRPr="001A1723" w:rsidRDefault="001A1723" w:rsidP="001A1723">
      <w:pPr>
        <w:spacing w:after="0" w:line="240" w:lineRule="auto"/>
        <w:outlineLvl w:val="3"/>
        <w:rPr>
          <w:rFonts w:ascii="inherit" w:eastAsia="Times New Roman" w:hAnsi="inherit" w:cs="Times New Roman"/>
          <w:b/>
          <w:bCs/>
          <w:color w:val="111111"/>
          <w:sz w:val="29"/>
          <w:szCs w:val="29"/>
        </w:rPr>
      </w:pPr>
      <w:r w:rsidRPr="001A1723">
        <w:rPr>
          <w:rFonts w:ascii="&amp;quot" w:eastAsia="Times New Roman" w:hAnsi="&amp;quot" w:cs="Times New Roman"/>
          <w:color w:val="111111"/>
          <w:sz w:val="29"/>
          <w:szCs w:val="29"/>
          <w:bdr w:val="none" w:sz="0" w:space="0" w:color="auto" w:frame="1"/>
        </w:rPr>
        <w:t xml:space="preserve">In the following chapters, we introduce each level of the model, identify its value base and examine policies and practices that make the workplace more inclusive. The barriers and benefits associated with implementing these programs are presented. We conclude each chapter with a case </w:t>
      </w:r>
      <w:r w:rsidRPr="001A1723">
        <w:rPr>
          <w:rFonts w:ascii="&amp;quot" w:eastAsia="Times New Roman" w:hAnsi="&amp;quot" w:cs="Times New Roman"/>
          <w:color w:val="111111"/>
          <w:sz w:val="29"/>
          <w:szCs w:val="29"/>
          <w:bdr w:val="none" w:sz="0" w:space="0" w:color="auto" w:frame="1"/>
        </w:rPr>
        <w:lastRenderedPageBreak/>
        <w:t xml:space="preserve">illustration that describes the organizational context and the circumstances that motivate companies to initiate inclusive policies. They illustrate some mistakes that were made and demonstrate interesting and creative programs and initiatives that promote a more inclusive organizational environment. Each case is followed by questions for further analysis and discussion. </w:t>
      </w:r>
    </w:p>
    <w:p w14:paraId="558925F9" w14:textId="0982A38B" w:rsidR="00607FEC" w:rsidRDefault="00607FEC">
      <w:bookmarkStart w:id="0" w:name="_GoBack"/>
      <w:bookmarkEnd w:id="0"/>
    </w:p>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133EFC"/>
    <w:multiLevelType w:val="multilevel"/>
    <w:tmpl w:val="076A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E8568CD"/>
    <w:multiLevelType w:val="multilevel"/>
    <w:tmpl w:val="927A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0991CEC"/>
    <w:multiLevelType w:val="multilevel"/>
    <w:tmpl w:val="9EC69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2F4661E"/>
    <w:multiLevelType w:val="multilevel"/>
    <w:tmpl w:val="C6AA20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B913E6A"/>
    <w:multiLevelType w:val="multilevel"/>
    <w:tmpl w:val="520CE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4"/>
  </w:num>
  <w:num w:numId="4">
    <w:abstractNumId w:val="3"/>
  </w:num>
  <w:num w:numId="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1A1723"/>
    <w:rsid w:val="00364BC1"/>
    <w:rsid w:val="004A6F8B"/>
    <w:rsid w:val="004E1FB2"/>
    <w:rsid w:val="00584E15"/>
    <w:rsid w:val="005A33F1"/>
    <w:rsid w:val="00607FEC"/>
    <w:rsid w:val="00681F3A"/>
    <w:rsid w:val="006845CF"/>
    <w:rsid w:val="00814FFD"/>
    <w:rsid w:val="009A6BED"/>
    <w:rsid w:val="00A8360D"/>
    <w:rsid w:val="00F3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14702">
      <w:bodyDiv w:val="1"/>
      <w:marLeft w:val="0"/>
      <w:marRight w:val="0"/>
      <w:marTop w:val="0"/>
      <w:marBottom w:val="0"/>
      <w:divBdr>
        <w:top w:val="none" w:sz="0" w:space="0" w:color="auto"/>
        <w:left w:val="none" w:sz="0" w:space="0" w:color="auto"/>
        <w:bottom w:val="none" w:sz="0" w:space="0" w:color="auto"/>
        <w:right w:val="none" w:sz="0" w:space="0" w:color="auto"/>
      </w:divBdr>
      <w:divsChild>
        <w:div w:id="654377754">
          <w:marLeft w:val="0"/>
          <w:marRight w:val="0"/>
          <w:marTop w:val="0"/>
          <w:marBottom w:val="0"/>
          <w:divBdr>
            <w:top w:val="none" w:sz="0" w:space="0" w:color="auto"/>
            <w:left w:val="none" w:sz="0" w:space="0" w:color="auto"/>
            <w:bottom w:val="none" w:sz="0" w:space="0" w:color="auto"/>
            <w:right w:val="none" w:sz="0" w:space="0" w:color="auto"/>
          </w:divBdr>
        </w:div>
      </w:divsChild>
    </w:div>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1253078084">
      <w:bodyDiv w:val="1"/>
      <w:marLeft w:val="0"/>
      <w:marRight w:val="0"/>
      <w:marTop w:val="0"/>
      <w:marBottom w:val="0"/>
      <w:divBdr>
        <w:top w:val="none" w:sz="0" w:space="0" w:color="auto"/>
        <w:left w:val="none" w:sz="0" w:space="0" w:color="auto"/>
        <w:bottom w:val="none" w:sz="0" w:space="0" w:color="auto"/>
        <w:right w:val="none" w:sz="0" w:space="0" w:color="auto"/>
      </w:divBdr>
      <w:divsChild>
        <w:div w:id="693851320">
          <w:marLeft w:val="0"/>
          <w:marRight w:val="0"/>
          <w:marTop w:val="0"/>
          <w:marBottom w:val="0"/>
          <w:divBdr>
            <w:top w:val="none" w:sz="0" w:space="0" w:color="auto"/>
            <w:left w:val="none" w:sz="0" w:space="0" w:color="auto"/>
            <w:bottom w:val="none" w:sz="0" w:space="0" w:color="auto"/>
            <w:right w:val="none" w:sz="0" w:space="0" w:color="auto"/>
          </w:divBdr>
        </w:div>
      </w:divsChild>
    </w:div>
    <w:div w:id="1295519647">
      <w:bodyDiv w:val="1"/>
      <w:marLeft w:val="0"/>
      <w:marRight w:val="0"/>
      <w:marTop w:val="0"/>
      <w:marBottom w:val="0"/>
      <w:divBdr>
        <w:top w:val="none" w:sz="0" w:space="0" w:color="auto"/>
        <w:left w:val="none" w:sz="0" w:space="0" w:color="auto"/>
        <w:bottom w:val="none" w:sz="0" w:space="0" w:color="auto"/>
        <w:right w:val="none" w:sz="0" w:space="0" w:color="auto"/>
      </w:divBdr>
      <w:divsChild>
        <w:div w:id="1543059679">
          <w:marLeft w:val="0"/>
          <w:marRight w:val="0"/>
          <w:marTop w:val="0"/>
          <w:marBottom w:val="0"/>
          <w:divBdr>
            <w:top w:val="none" w:sz="0" w:space="0" w:color="auto"/>
            <w:left w:val="none" w:sz="0" w:space="0" w:color="auto"/>
            <w:bottom w:val="none" w:sz="0" w:space="0" w:color="auto"/>
            <w:right w:val="none" w:sz="0" w:space="0" w:color="auto"/>
          </w:divBdr>
        </w:div>
      </w:divsChild>
    </w:div>
    <w:div w:id="1354188865">
      <w:bodyDiv w:val="1"/>
      <w:marLeft w:val="0"/>
      <w:marRight w:val="0"/>
      <w:marTop w:val="0"/>
      <w:marBottom w:val="0"/>
      <w:divBdr>
        <w:top w:val="none" w:sz="0" w:space="0" w:color="auto"/>
        <w:left w:val="none" w:sz="0" w:space="0" w:color="auto"/>
        <w:bottom w:val="none" w:sz="0" w:space="0" w:color="auto"/>
        <w:right w:val="none" w:sz="0" w:space="0" w:color="auto"/>
      </w:divBdr>
      <w:divsChild>
        <w:div w:id="1636327886">
          <w:marLeft w:val="0"/>
          <w:marRight w:val="0"/>
          <w:marTop w:val="0"/>
          <w:marBottom w:val="0"/>
          <w:divBdr>
            <w:top w:val="none" w:sz="0" w:space="0" w:color="auto"/>
            <w:left w:val="none" w:sz="0" w:space="0" w:color="auto"/>
            <w:bottom w:val="none" w:sz="0" w:space="0" w:color="auto"/>
            <w:right w:val="none" w:sz="0" w:space="0" w:color="auto"/>
          </w:divBdr>
        </w:div>
      </w:divsChild>
    </w:div>
    <w:div w:id="1987853574">
      <w:bodyDiv w:val="1"/>
      <w:marLeft w:val="0"/>
      <w:marRight w:val="0"/>
      <w:marTop w:val="0"/>
      <w:marBottom w:val="0"/>
      <w:divBdr>
        <w:top w:val="none" w:sz="0" w:space="0" w:color="auto"/>
        <w:left w:val="none" w:sz="0" w:space="0" w:color="auto"/>
        <w:bottom w:val="none" w:sz="0" w:space="0" w:color="auto"/>
        <w:right w:val="none" w:sz="0" w:space="0" w:color="auto"/>
      </w:divBdr>
      <w:divsChild>
        <w:div w:id="1935941434">
          <w:marLeft w:val="0"/>
          <w:marRight w:val="0"/>
          <w:marTop w:val="0"/>
          <w:marBottom w:val="0"/>
          <w:divBdr>
            <w:top w:val="none" w:sz="0" w:space="0" w:color="auto"/>
            <w:left w:val="none" w:sz="0" w:space="0" w:color="auto"/>
            <w:bottom w:val="none" w:sz="0" w:space="0" w:color="auto"/>
            <w:right w:val="none" w:sz="0" w:space="0" w:color="auto"/>
          </w:divBdr>
        </w:div>
      </w:divsChild>
    </w:div>
    <w:div w:id="2012445404">
      <w:bodyDiv w:val="1"/>
      <w:marLeft w:val="0"/>
      <w:marRight w:val="0"/>
      <w:marTop w:val="0"/>
      <w:marBottom w:val="0"/>
      <w:divBdr>
        <w:top w:val="none" w:sz="0" w:space="0" w:color="auto"/>
        <w:left w:val="none" w:sz="0" w:space="0" w:color="auto"/>
        <w:bottom w:val="none" w:sz="0" w:space="0" w:color="auto"/>
        <w:right w:val="none" w:sz="0" w:space="0" w:color="auto"/>
      </w:divBdr>
      <w:divsChild>
        <w:div w:id="1542548587">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2510</Characters>
  <Application>Microsoft Office Word</Application>
  <DocSecurity>0</DocSecurity>
  <Lines>20</Lines>
  <Paragraphs>5</Paragraphs>
  <ScaleCrop>false</ScaleCrop>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2020-04-09T08:48:00Z</dcterms:created>
  <dcterms:modified xsi:type="dcterms:W3CDTF">2020-04-09T08:48:00Z</dcterms:modified>
</cp:coreProperties>
</file>